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6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Псковская область</w:t>
      </w:r>
    </w:p>
    <w:p>
      <w:pPr>
        <w:pStyle w:val="Normal"/>
        <w:spacing w:before="0" w:after="16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Островский район</w:t>
      </w:r>
    </w:p>
    <w:p>
      <w:pPr>
        <w:pStyle w:val="Normal"/>
        <w:spacing w:before="0" w:after="16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СЕЛЬСКОГО ПОСЕЛЕНИЯ</w:t>
      </w:r>
    </w:p>
    <w:p>
      <w:pPr>
        <w:pStyle w:val="Normal"/>
        <w:spacing w:before="0" w:after="16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«ГОРАЙСКАЯ  ВОЛОСТЬ»</w:t>
      </w:r>
    </w:p>
    <w:p>
      <w:pPr>
        <w:pStyle w:val="Normal"/>
        <w:spacing w:before="0" w:after="1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РАСПОРЯЖЕНИЕ</w:t>
      </w:r>
    </w:p>
    <w:p>
      <w:pPr>
        <w:pStyle w:val="Normal"/>
        <w:spacing w:before="0" w:after="1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contextualSpacing/>
        <w:rPr/>
      </w:pPr>
      <w:r>
        <w:rPr>
          <w:rStyle w:val="Style14"/>
          <w:rFonts w:cs="Times New Roman" w:ascii="Times New Roman" w:hAnsi="Times New Roman"/>
          <w:b/>
          <w:bCs/>
          <w:sz w:val="28"/>
          <w:szCs w:val="28"/>
        </w:rPr>
        <w:t xml:space="preserve">от </w:t>
      </w:r>
      <w:r>
        <w:rPr>
          <w:rStyle w:val="Style14"/>
          <w:rFonts w:cs="Times New Roman" w:ascii="Times New Roman" w:hAnsi="Times New Roman"/>
          <w:b/>
          <w:bCs/>
          <w:color w:val="000000"/>
          <w:sz w:val="28"/>
          <w:szCs w:val="28"/>
        </w:rPr>
        <w:t>23.07.2025</w:t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              </w:t>
      </w:r>
      <w:r>
        <w:rPr>
          <w:rStyle w:val="Style14"/>
          <w:rFonts w:cs="Times New Roman" w:ascii="Times New Roman" w:hAnsi="Times New Roman"/>
          <w:b/>
          <w:sz w:val="28"/>
          <w:szCs w:val="28"/>
        </w:rPr>
        <w:t xml:space="preserve">                          № 6-ОД</w:t>
      </w:r>
    </w:p>
    <w:p>
      <w:pPr>
        <w:pStyle w:val="Normal"/>
        <w:spacing w:before="0" w:after="160"/>
        <w:contextualSpacing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дер. Крюки</w:t>
      </w:r>
    </w:p>
    <w:p>
      <w:pPr>
        <w:pStyle w:val="Normal"/>
        <w:spacing w:before="0" w:after="16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before="0" w:after="160"/>
        <w:contextualSpacing/>
        <w:rPr/>
      </w:pPr>
      <w:r>
        <w:rPr>
          <w:rStyle w:val="Style14"/>
          <w:rFonts w:cs="Times New Roman" w:ascii="Times New Roman" w:hAnsi="Times New Roman"/>
          <w:b/>
          <w:sz w:val="28"/>
          <w:szCs w:val="28"/>
        </w:rPr>
        <w:t xml:space="preserve">Об </w:t>
      </w:r>
      <w:r>
        <w:rPr>
          <w:rStyle w:val="Style14"/>
          <w:rFonts w:cs="Times New Roman" w:ascii="Times New Roman" w:hAnsi="Times New Roman"/>
          <w:b/>
          <w:bCs/>
          <w:sz w:val="28"/>
          <w:szCs w:val="28"/>
        </w:rPr>
        <w:t>оценке эффективности налоговых льгот</w:t>
      </w:r>
    </w:p>
    <w:p>
      <w:pPr>
        <w:pStyle w:val="Normal"/>
        <w:spacing w:before="0" w:after="16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before="0" w:after="1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160"/>
        <w:contextualSpacing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ab/>
        <w:t>В соответствии с решением Собрания депутатов сельского поселения «Горайская волость» от 16.04.2018 №74 «</w:t>
      </w:r>
      <w:r>
        <w:rPr>
          <w:rStyle w:val="Style14"/>
          <w:rFonts w:eastAsia="Calibri" w:cs="Times New Roman" w:ascii="Times New Roman" w:hAnsi="Times New Roman"/>
          <w:sz w:val="28"/>
          <w:szCs w:val="28"/>
        </w:rPr>
        <w:t xml:space="preserve">Об утверждении </w:t>
      </w:r>
      <w:r>
        <w:rPr>
          <w:rStyle w:val="Style14"/>
          <w:rFonts w:eastAsia="Calibri" w:cs="Times New Roman" w:ascii="Times New Roman" w:hAnsi="Times New Roman"/>
          <w:bCs/>
          <w:sz w:val="28"/>
          <w:szCs w:val="28"/>
        </w:rPr>
        <w:t xml:space="preserve">порядка </w:t>
      </w:r>
      <w:r>
        <w:rPr>
          <w:rStyle w:val="Style14"/>
          <w:rFonts w:cs="Times New Roman" w:ascii="Times New Roman" w:hAnsi="Times New Roman"/>
          <w:sz w:val="28"/>
          <w:szCs w:val="28"/>
        </w:rPr>
        <w:t>проведения оценки эффективности предоставленных (планируемых к предоставлению) налоговых льгот по местным налогам», руководствуясь статьей 28 Устава муниципального образования «Горайская волость»:</w:t>
      </w:r>
    </w:p>
    <w:p>
      <w:pPr>
        <w:pStyle w:val="Normal"/>
        <w:tabs>
          <w:tab w:val="clear" w:pos="709"/>
        </w:tabs>
        <w:spacing w:lineRule="auto" w:line="360" w:before="0" w:after="160"/>
        <w:ind w:left="75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360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ab/>
        <w:t xml:space="preserve">1. Утвердить  </w:t>
      </w:r>
      <w:r>
        <w:rPr>
          <w:rStyle w:val="Style14"/>
          <w:rFonts w:cs="Times New Roman" w:ascii="Times New Roman" w:hAnsi="Times New Roman"/>
          <w:bCs/>
          <w:sz w:val="28"/>
          <w:szCs w:val="28"/>
        </w:rPr>
        <w:t>анализ эффективности налоговых льгот за 2024 год. (Приложение 1)</w:t>
      </w:r>
    </w:p>
    <w:p>
      <w:pPr>
        <w:pStyle w:val="Normal"/>
        <w:spacing w:lineRule="auto" w:line="360"/>
        <w:jc w:val="both"/>
        <w:rPr/>
      </w:pPr>
      <w:r>
        <w:rPr>
          <w:rStyle w:val="Style14"/>
          <w:rFonts w:cs="Times New Roman" w:ascii="Times New Roman" w:hAnsi="Times New Roman"/>
          <w:bCs/>
          <w:sz w:val="28"/>
          <w:szCs w:val="28"/>
        </w:rPr>
        <w:tab/>
      </w:r>
      <w:r>
        <w:rPr>
          <w:rStyle w:val="Style14"/>
          <w:rFonts w:cs="Times New Roman" w:ascii="Times New Roman" w:hAnsi="Times New Roman"/>
          <w:sz w:val="28"/>
          <w:szCs w:val="28"/>
        </w:rPr>
        <w:t xml:space="preserve">2. Утвердить </w:t>
      </w:r>
      <w:r>
        <w:rPr>
          <w:rStyle w:val="Style14"/>
          <w:rFonts w:cs="Times New Roman" w:ascii="Times New Roman" w:hAnsi="Times New Roman"/>
          <w:bCs/>
          <w:sz w:val="28"/>
          <w:szCs w:val="28"/>
        </w:rPr>
        <w:t>результаты эффективности налоговых льгот за 2024 год. (Приложение 2)</w:t>
      </w:r>
    </w:p>
    <w:p>
      <w:pPr>
        <w:pStyle w:val="Normal"/>
        <w:spacing w:lineRule="auto" w:line="360"/>
        <w:jc w:val="both"/>
        <w:rPr/>
      </w:pPr>
      <w:r>
        <w:rPr>
          <w:rStyle w:val="Style14"/>
          <w:rFonts w:cs="Times New Roman" w:ascii="Times New Roman" w:hAnsi="Times New Roman"/>
          <w:b/>
          <w:bCs/>
          <w:sz w:val="28"/>
          <w:szCs w:val="28"/>
        </w:rPr>
        <w:tab/>
      </w:r>
      <w:r>
        <w:rPr>
          <w:rStyle w:val="Style14"/>
          <w:rFonts w:cs="Times New Roman" w:ascii="Times New Roman" w:hAnsi="Times New Roman"/>
          <w:bCs/>
          <w:sz w:val="28"/>
          <w:szCs w:val="28"/>
        </w:rPr>
        <w:t>3</w:t>
      </w:r>
      <w:r>
        <w:rPr>
          <w:rStyle w:val="Style14"/>
          <w:rFonts w:cs="Times New Roman" w:ascii="Times New Roman" w:hAnsi="Times New Roman"/>
          <w:b/>
          <w:bCs/>
          <w:sz w:val="28"/>
          <w:szCs w:val="28"/>
        </w:rPr>
        <w:t xml:space="preserve">. </w:t>
      </w:r>
      <w:r>
        <w:rPr>
          <w:rStyle w:val="Style14"/>
          <w:rFonts w:cs="Times New Roman" w:ascii="Times New Roman" w:hAnsi="Times New Roman"/>
          <w:sz w:val="28"/>
          <w:szCs w:val="28"/>
        </w:rPr>
        <w:t>Обнародовать  настоящее  распоряжение  в  установленном  порядке.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360" w:before="0" w:after="1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1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Глава сельского поселения</w:t>
      </w:r>
    </w:p>
    <w:p>
      <w:pPr>
        <w:pStyle w:val="Normal"/>
        <w:spacing w:before="0" w:after="1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«Горайская  волость»                                                                     А.В. Цыганков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right"/>
        <w:rPr>
          <w:rFonts w:ascii="Times New Roman" w:hAnsi="Times New Roman" w:cs="Times New Roman"/>
          <w:bCs/>
          <w:i/>
          <w:i/>
        </w:rPr>
      </w:pPr>
      <w:r>
        <w:rPr>
          <w:rFonts w:cs="Times New Roman" w:ascii="Times New Roman" w:hAnsi="Times New Roman"/>
          <w:bCs/>
          <w:i/>
        </w:rPr>
        <w:t>Приложение 1</w:t>
      </w:r>
    </w:p>
    <w:p>
      <w:pPr>
        <w:pStyle w:val="Normal"/>
        <w:jc w:val="right"/>
        <w:rPr>
          <w:rFonts w:ascii="Times New Roman" w:hAnsi="Times New Roman" w:cs="Times New Roman"/>
          <w:bCs/>
          <w:i/>
          <w:i/>
        </w:rPr>
      </w:pPr>
      <w:r>
        <w:rPr>
          <w:rFonts w:cs="Times New Roman" w:ascii="Times New Roman" w:hAnsi="Times New Roman"/>
          <w:bCs/>
          <w:i/>
        </w:rPr>
        <w:t>к распоряжению</w:t>
      </w:r>
    </w:p>
    <w:p>
      <w:pPr>
        <w:pStyle w:val="Normal"/>
        <w:jc w:val="right"/>
        <w:rPr>
          <w:rFonts w:ascii="Times New Roman" w:hAnsi="Times New Roman" w:cs="Times New Roman"/>
          <w:bCs/>
          <w:i/>
          <w:i/>
        </w:rPr>
      </w:pPr>
      <w:r>
        <w:rPr>
          <w:rFonts w:cs="Times New Roman" w:ascii="Times New Roman" w:hAnsi="Times New Roman"/>
          <w:bCs/>
          <w:i/>
        </w:rPr>
        <w:t>Главы Администрации</w:t>
      </w:r>
    </w:p>
    <w:p>
      <w:pPr>
        <w:pStyle w:val="Normal"/>
        <w:jc w:val="right"/>
        <w:rPr>
          <w:rFonts w:ascii="Times New Roman" w:hAnsi="Times New Roman" w:cs="Times New Roman"/>
          <w:bCs/>
          <w:i/>
          <w:i/>
        </w:rPr>
      </w:pPr>
      <w:r>
        <w:rPr>
          <w:rFonts w:cs="Times New Roman" w:ascii="Times New Roman" w:hAnsi="Times New Roman"/>
          <w:bCs/>
          <w:i/>
        </w:rPr>
        <w:t xml:space="preserve"> </w:t>
      </w:r>
      <w:r>
        <w:rPr>
          <w:rFonts w:cs="Times New Roman" w:ascii="Times New Roman" w:hAnsi="Times New Roman"/>
          <w:bCs/>
          <w:i/>
        </w:rPr>
        <w:t>сельского поселения</w:t>
      </w:r>
    </w:p>
    <w:p>
      <w:pPr>
        <w:pStyle w:val="Normal"/>
        <w:jc w:val="right"/>
        <w:rPr>
          <w:rFonts w:ascii="Times New Roman" w:hAnsi="Times New Roman" w:cs="Times New Roman"/>
          <w:bCs/>
          <w:i/>
          <w:i/>
        </w:rPr>
      </w:pPr>
      <w:r>
        <w:rPr>
          <w:rFonts w:cs="Times New Roman" w:ascii="Times New Roman" w:hAnsi="Times New Roman"/>
          <w:bCs/>
          <w:i/>
        </w:rPr>
        <w:t>«Горайская волость»</w:t>
      </w:r>
    </w:p>
    <w:p>
      <w:pPr>
        <w:pStyle w:val="Normal"/>
        <w:jc w:val="right"/>
        <w:rPr>
          <w:rFonts w:ascii="Times New Roman" w:hAnsi="Times New Roman" w:cs="Times New Roman"/>
          <w:bCs/>
          <w:i/>
          <w:i/>
          <w:color w:val="000000"/>
        </w:rPr>
      </w:pPr>
      <w:r>
        <w:rPr>
          <w:rFonts w:cs="Times New Roman" w:ascii="Times New Roman" w:hAnsi="Times New Roman"/>
          <w:bCs/>
          <w:i/>
          <w:color w:val="000000"/>
        </w:rPr>
        <w:t>от 23.07.2025 № 6-ОД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Оценка эффективности налоговых льгот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Анализ оценки эффективности налоговых льгот проведен по земельному налогу и налогу на имущество физических лиц в соответствии с утвержденным Решением Собрания депутатов поселения № 74 от 16.04.2018 года Порядком проведения оценки эффективности предоставленных (планируемых к предоставлению) налоговых льгот по местным налогам», а также данными о увеличении кадастровой стоимости земельных участков, в соответствии с Постановление Администрации Псковской области от 22.11.2016 г. № 377 «Об утверждении результатов определения кадастровой стоимости».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1. Оценка эффективности льгот (сниженной налоговой ставки) по земельному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налогу</w:t>
      </w:r>
    </w:p>
    <w:p>
      <w:pPr>
        <w:pStyle w:val="Normal"/>
        <w:ind w:firstLine="708"/>
        <w:jc w:val="both"/>
        <w:rPr/>
      </w:pPr>
      <w:r>
        <w:rPr>
          <w:rStyle w:val="Style14"/>
          <w:rFonts w:cs="Times New Roman" w:ascii="Times New Roman" w:hAnsi="Times New Roman"/>
        </w:rPr>
        <w:t xml:space="preserve"> </w:t>
      </w:r>
      <w:r>
        <w:rPr>
          <w:rStyle w:val="Style14"/>
          <w:rFonts w:cs="Times New Roman" w:ascii="Times New Roman" w:hAnsi="Times New Roman"/>
        </w:rPr>
        <w:t>В соответствии со ст. 387 главы 31 «Земельный налог» Налогового кодекса (далее Кодекса) и Решения Собрания депутатов сельского поселения «Горайская волость» от 26.11.2019г. №114 «Об установлении земельного налога»  приято решение об установлении и введении в действие земельного налога на территории волости.</w:t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При установлении земельного налога определены налоговые ставки в пределах, установленных ст. 394 Кодекса, с учетом дифференцирования налоговых ставок в зависимости от категории земель и разрешенного использования земельного участка (пункт 2 статьи 394 Кодекса).</w:t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Основываясь на положения ст. 3 Кодекса, налоги и сборы должны иметь экономическое основание и учитывать фактическую способность налогоплательщиков к уплате налога, ставки были установлены максимально установленные.</w:t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Установлены следующие ставки:</w:t>
      </w:r>
    </w:p>
    <w:p>
      <w:pPr>
        <w:pStyle w:val="Normal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 0,3 % в отношении земельных участков:</w:t>
      </w:r>
    </w:p>
    <w:p>
      <w:pPr>
        <w:pStyle w:val="Style16"/>
        <w:spacing w:lineRule="auto" w:line="276" w:before="280" w:after="0"/>
        <w:ind w:firstLine="708"/>
        <w:contextualSpacing/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iCs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>
      <w:pPr>
        <w:pStyle w:val="Style16"/>
        <w:spacing w:lineRule="auto" w:line="276" w:before="280" w:after="0"/>
        <w:contextualSpacing/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iCs/>
        </w:rPr>
      </w:r>
    </w:p>
    <w:p>
      <w:pPr>
        <w:pStyle w:val="Style16"/>
        <w:spacing w:lineRule="auto" w:line="276" w:before="0" w:after="0"/>
        <w:contextualSpacing/>
        <w:jc w:val="both"/>
        <w:rPr/>
      </w:pPr>
      <w:r>
        <w:rPr>
          <w:rStyle w:val="Style14"/>
          <w:rFonts w:cs="Times New Roman" w:ascii="Times New Roman" w:hAnsi="Times New Roman"/>
          <w:iCs/>
        </w:rPr>
        <w:tab/>
        <w:t xml:space="preserve">занятых </w:t>
      </w:r>
      <w:hyperlink r:id="rId2" w:tgtFrame="_top">
        <w:r>
          <w:rPr>
            <w:rStyle w:val="Style15"/>
            <w:rFonts w:cs="Times New Roman" w:ascii="Times New Roman" w:hAnsi="Times New Roman"/>
            <w:iCs/>
          </w:rPr>
          <w:t>жилищным фондом</w:t>
        </w:r>
      </w:hyperlink>
      <w:r>
        <w:rPr>
          <w:rStyle w:val="Style14"/>
          <w:rFonts w:cs="Times New Roman" w:ascii="Times New Roman" w:hAnsi="Times New Roman"/>
          <w:iCs/>
        </w:rPr>
        <w:t xml:space="preserve"> и (или) </w:t>
      </w:r>
      <w:hyperlink r:id="rId3" w:tgtFrame="_top">
        <w:r>
          <w:rPr>
            <w:rStyle w:val="Style15"/>
            <w:rFonts w:cs="Times New Roman" w:ascii="Times New Roman" w:hAnsi="Times New Roman"/>
            <w:iCs/>
          </w:rPr>
          <w:t>объектами инженерной инфраструктуры</w:t>
        </w:r>
      </w:hyperlink>
      <w:r>
        <w:rPr>
          <w:rStyle w:val="Style14"/>
          <w:rFonts w:cs="Times New Roman" w:ascii="Times New Roman" w:hAnsi="Times New Roman"/>
          <w:iCs/>
        </w:rPr>
        <w:t xml:space="preserve"> жилищно-коммунального комплекса (за исключением части земельн</w:t>
      </w:r>
      <w:r>
        <w:rPr>
          <w:rStyle w:val="Style14"/>
          <w:rFonts w:eastAsia="Times New Roman" w:cs="Times New Roman" w:ascii="Times New Roman" w:hAnsi="Times New Roman"/>
          <w:iCs/>
          <w:lang w:bidi="ar-SA"/>
        </w:rPr>
        <w:t>ого</w:t>
      </w:r>
      <w:r>
        <w:rPr>
          <w:rStyle w:val="Style14"/>
          <w:rFonts w:cs="Times New Roman" w:ascii="Times New Roman" w:hAnsi="Times New Roman"/>
          <w:iCs/>
        </w:rPr>
        <w:t xml:space="preserve"> участ</w:t>
      </w:r>
      <w:r>
        <w:rPr>
          <w:rStyle w:val="Style14"/>
          <w:rFonts w:eastAsia="Times New Roman" w:cs="Times New Roman" w:ascii="Times New Roman" w:hAnsi="Times New Roman"/>
          <w:iCs/>
          <w:lang w:bidi="ar-SA"/>
        </w:rPr>
        <w:t>ка</w:t>
      </w:r>
      <w:r>
        <w:rPr>
          <w:rStyle w:val="Style14"/>
          <w:rFonts w:cs="Times New Roman" w:ascii="Times New Roman" w:hAnsi="Times New Roman"/>
          <w:iCs/>
        </w:rPr>
        <w:t xml:space="preserve">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</w:t>
      </w:r>
      <w:r>
        <w:rPr>
          <w:rStyle w:val="Style14"/>
          <w:rFonts w:cs="Times New Roman" w:ascii="Times New Roman" w:hAnsi="Times New Roman"/>
          <w:iCs/>
          <w:color w:val="000000"/>
        </w:rPr>
        <w:t>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>
      <w:pPr>
        <w:pStyle w:val="Style16"/>
        <w:spacing w:lineRule="auto" w:line="276" w:before="0" w:after="0"/>
        <w:contextualSpacing/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iCs/>
        </w:rPr>
        <w:tab/>
      </w:r>
    </w:p>
    <w:p>
      <w:pPr>
        <w:pStyle w:val="Style16"/>
        <w:spacing w:lineRule="auto" w:line="276" w:before="0" w:after="0"/>
        <w:contextualSpacing/>
        <w:jc w:val="both"/>
        <w:rPr/>
      </w:pPr>
      <w:r>
        <w:rPr>
          <w:rStyle w:val="Style14"/>
          <w:rFonts w:cs="Times New Roman" w:ascii="Times New Roman" w:hAnsi="Times New Roman"/>
          <w:iCs/>
        </w:rPr>
        <w:tab/>
        <w:t xml:space="preserve">не используемых в предпринимательской деятельности, приобретенных (предоставленных) для ведения </w:t>
      </w:r>
      <w:hyperlink r:id="rId4" w:tgtFrame="_top">
        <w:r>
          <w:rPr>
            <w:rStyle w:val="Style15"/>
            <w:rFonts w:cs="Times New Roman" w:ascii="Times New Roman" w:hAnsi="Times New Roman"/>
            <w:iCs/>
          </w:rPr>
          <w:t>личного подсобного хозяйства</w:t>
        </w:r>
      </w:hyperlink>
      <w:r>
        <w:rPr>
          <w:rStyle w:val="Style14"/>
          <w:rFonts w:cs="Times New Roman" w:ascii="Times New Roman" w:hAnsi="Times New Roman"/>
          <w:iCs/>
        </w:rPr>
        <w:t xml:space="preserve">, садоводства или огородничества, а также земельных участков общего назначения, предусмотренных Федеральным </w:t>
      </w:r>
      <w:hyperlink r:id="rId5" w:tgtFrame="_top">
        <w:r>
          <w:rPr>
            <w:rStyle w:val="Style15"/>
            <w:rFonts w:cs="Times New Roman" w:ascii="Times New Roman" w:hAnsi="Times New Roman"/>
            <w:iCs/>
          </w:rPr>
          <w:t>законом</w:t>
        </w:r>
      </w:hyperlink>
      <w:r>
        <w:rPr>
          <w:rStyle w:val="Style14"/>
          <w:rFonts w:cs="Times New Roman" w:ascii="Times New Roman" w:hAnsi="Times New Roman"/>
          <w:iCs/>
        </w:rPr>
        <w:t xml:space="preserve"> от 29.07.2017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>
        <w:rPr>
          <w:rStyle w:val="Style14"/>
          <w:rFonts w:cs="Times New Roman" w:ascii="Times New Roman" w:hAnsi="Times New Roman"/>
          <w:iCs/>
          <w:color w:val="000000"/>
        </w:rPr>
        <w:t>, за исключением указанных в настоящем абзаце земельных участков,  кадастровая стоимость каждого из которых превышает 300 миллионов рублей;</w:t>
      </w:r>
    </w:p>
    <w:p>
      <w:pPr>
        <w:pStyle w:val="Style16"/>
        <w:spacing w:lineRule="auto" w:line="276" w:before="0" w:after="0"/>
        <w:contextualSpacing/>
        <w:jc w:val="both"/>
        <w:rPr>
          <w:rFonts w:ascii="Times New Roman" w:hAnsi="Times New Roman" w:cs="Times New Roman"/>
          <w:iCs/>
        </w:rPr>
      </w:pPr>
      <w:r>
        <w:rPr>
          <w:rFonts w:cs="Times New Roman" w:ascii="Times New Roman" w:hAnsi="Times New Roman"/>
          <w:iCs/>
        </w:rPr>
      </w:r>
    </w:p>
    <w:p>
      <w:pPr>
        <w:pStyle w:val="Normal"/>
        <w:ind w:firstLine="708"/>
        <w:jc w:val="both"/>
        <w:rPr/>
      </w:pPr>
      <w:r>
        <w:rPr>
          <w:rStyle w:val="Style14"/>
          <w:rFonts w:cs="Times New Roman" w:ascii="Times New Roman" w:hAnsi="Times New Roman"/>
          <w:iCs/>
        </w:rPr>
        <w:tab/>
        <w:t xml:space="preserve">ограниченных в обороте в соответствии с </w:t>
      </w:r>
      <w:hyperlink r:id="rId6" w:tgtFrame="_top">
        <w:r>
          <w:rPr>
            <w:rStyle w:val="Style15"/>
            <w:rFonts w:cs="Times New Roman" w:ascii="Times New Roman" w:hAnsi="Times New Roman"/>
            <w:iCs/>
          </w:rPr>
          <w:t>законодательством</w:t>
        </w:r>
      </w:hyperlink>
      <w:r>
        <w:rPr>
          <w:rStyle w:val="Style14"/>
          <w:rFonts w:cs="Times New Roman" w:ascii="Times New Roman" w:hAnsi="Times New Roman"/>
          <w:iCs/>
        </w:rPr>
        <w:t xml:space="preserve"> Российской Федерации, предоставленных для обеспечения обороны, безопасности и таможенных нужд;</w:t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2) 1,5 % в отношении прочих участков.</w:t>
      </w:r>
    </w:p>
    <w:p>
      <w:pPr>
        <w:pStyle w:val="Normal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Сумма налога, не поступившая в бюджет в связи с предоставлением налогоплательщикам льгот, установленных в соответствии с п.2 ст.387 Кодекса нормативными правовыми актами представительных органов муниципальных образований по налогу равна нулю.</w:t>
      </w:r>
    </w:p>
    <w:p>
      <w:pPr>
        <w:pStyle w:val="Normal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 анализе бюджетной эффективности использованы данные фактического поступления налога за отчетный период и данные поступления налога в первом полугодии 2024 года в сравнении с первым полугодием 2023 года.</w:t>
      </w:r>
    </w:p>
    <w:p>
      <w:pPr>
        <w:pStyle w:val="Normal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</w:t>
      </w:r>
    </w:p>
    <w:tbl>
      <w:tblPr>
        <w:tblW w:w="93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005"/>
        <w:gridCol w:w="840"/>
        <w:gridCol w:w="1005"/>
        <w:gridCol w:w="993"/>
        <w:gridCol w:w="847"/>
        <w:gridCol w:w="850"/>
        <w:gridCol w:w="995"/>
        <w:gridCol w:w="1271"/>
      </w:tblGrid>
      <w:tr>
        <w:trPr>
          <w:trHeight w:val="2280" w:hRule="atLeast"/>
        </w:trPr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Наименование налога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Фактическое (прогнозное) поступление налогов за год, предшествующий отчетному (плановому) периоду тыс. руб.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Фактическое (плановое) поступление налогов за отчетный (плановый) период тыс. руб.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Прирост поступлений налога в бюджет тыс. руб.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Сумма полученных (планируемых к получению налоговых льгот за отчетный (плановый) период тыс. руб.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Коэффициент бюджетной обеспеченности</w:t>
            </w:r>
          </w:p>
        </w:tc>
      </w:tr>
      <w:tr>
        <w:trPr>
          <w:trHeight w:val="495" w:hRule="atLeast"/>
        </w:trPr>
        <w:tc>
          <w:tcPr>
            <w:tcW w:w="15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2023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год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1-е полуг 2023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1-е полуг 2024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полугодие</w:t>
            </w:r>
          </w:p>
        </w:tc>
        <w:tc>
          <w:tcPr>
            <w:tcW w:w="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  <w:tr>
        <w:trPr/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Земельный налог юридические лица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630,0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2,9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301,00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2,9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-329,0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Земельный налог физические лица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1000,0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162,3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1486,0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162,3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+486,0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итого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1630,0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165,2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1787,0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165,2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+157,0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ormal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При установлении земельного налога Собранием депутатов сельского поселения «Горайская волость» дополнительные налоговые льготы, основания и порядок их применения, включая установление размера не облагаемой налогом суммы для отдельных категорий налогоплательщиков не устанавливались (пункт 2 статьи 387 Кодекса).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В соответствии с п.1 ст. 56 Кодекса льготами по налогам и сборам признаются предоставляемые отдельным категориям налогоплательщиков и плательщиков сборов предусмотренные законодательством о налогах и сборах преимущества по сравнению с другими налогоплательщиками или плательщиками сборов, включая возможность не уплачивать налог или сбор либо уплачивать их в меньшем размере.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Льготы в виде уменьшения исчисленной суммы налога, в виде необлагаемой площади земельного участка, в виде освобождения от налогообложения, в виде снижения налоговой ставки представительными органами власти муниципальных образований Островского района не установлены, т. к. льготой считается снижение ставки по сравнению с максимальной ставкой по какому- либо виду участков, которая установлена в муниципальном образовании, а введенная там максимальная ставка меньше максимальной ставки, предусмотренной Кодексом- не является льготой в виде снижения ставок.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данные выводы следуют из писем МФ РФ от 03.02.2016 г №03-05-06-02/5239; от 05.02.2016 №03-05-06-02/5874; Федеральной налоговой службы № БС-4-11/15985 от 10.09.2015г.; разьяснений Советника государственной гражданской службы РФ 2 класса М.И. Гоголевой: Земельный налог по налоговому кодексу 2008.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rPr>
          <w:rFonts w:ascii="Times New Roman" w:hAnsi="Times New Roman" w:eastAsia="Arial Unicode MS" w:cs="Times New Roman"/>
          <w:b/>
          <w:b/>
          <w:bCs/>
        </w:rPr>
      </w:pPr>
      <w:r>
        <w:rPr>
          <w:rFonts w:eastAsia="Arial Unicode MS" w:cs="Times New Roman" w:ascii="Times New Roman" w:hAnsi="Times New Roman"/>
          <w:b/>
          <w:bCs/>
        </w:rPr>
        <w:t>2. Оценка эффективности местных льгот по налогу на имущество физических</w:t>
      </w:r>
    </w:p>
    <w:p>
      <w:pPr>
        <w:pStyle w:val="Normal"/>
        <w:rPr>
          <w:rFonts w:ascii="Times New Roman" w:hAnsi="Times New Roman" w:eastAsia="Arial Unicode MS" w:cs="Times New Roman"/>
          <w:b/>
          <w:b/>
          <w:bCs/>
        </w:rPr>
      </w:pPr>
      <w:r>
        <w:rPr>
          <w:rFonts w:eastAsia="Arial Unicode MS" w:cs="Times New Roman" w:ascii="Times New Roman" w:hAnsi="Times New Roman"/>
          <w:b/>
          <w:bCs/>
        </w:rPr>
        <w:t>лиц</w:t>
      </w:r>
    </w:p>
    <w:p>
      <w:pPr>
        <w:pStyle w:val="Normal"/>
        <w:jc w:val="both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  <w:t xml:space="preserve">        </w:t>
      </w:r>
      <w:r>
        <w:rPr>
          <w:rFonts w:eastAsia="Arial Unicode MS" w:cs="Times New Roman" w:ascii="Times New Roman" w:hAnsi="Times New Roman"/>
        </w:rPr>
        <w:t>На территории сельских поселений Островского района отсутствуют льготы (сниженные ставки) по налогу на имущество физических лиц. Льготы предоставляются в соответствии с Налоговым Кодексом Российской Федерации.</w:t>
      </w:r>
    </w:p>
    <w:p>
      <w:pPr>
        <w:pStyle w:val="Normal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  <w:t>Общий вывод:</w:t>
      </w:r>
    </w:p>
    <w:p>
      <w:pPr>
        <w:pStyle w:val="Normal"/>
        <w:jc w:val="both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  <w:t xml:space="preserve">         </w:t>
      </w:r>
      <w:r>
        <w:rPr>
          <w:rFonts w:eastAsia="Arial Unicode MS" w:cs="Times New Roman" w:ascii="Times New Roman" w:hAnsi="Times New Roman"/>
        </w:rPr>
        <w:t>На основании результатов проведенного анализа установления ставок земельного налога, вносить изменения по принятым ставкам по земельному налогу нет основания.</w:t>
      </w:r>
    </w:p>
    <w:p>
      <w:pPr>
        <w:pStyle w:val="Normal"/>
        <w:jc w:val="both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  <w:t>Результаты оценки эффективности налоговых льгот оформлены в соответствии с приложением № 2</w:t>
      </w:r>
    </w:p>
    <w:p>
      <w:pPr>
        <w:pStyle w:val="Normal"/>
        <w:jc w:val="both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eastAsia="Arial Unicode MS" w:cs="Times New Roman"/>
        </w:rPr>
      </w:pPr>
      <w:r>
        <w:rPr>
          <w:rFonts w:eastAsia="Arial Unicode MS" w:cs="Times New Roman" w:ascii="Times New Roman" w:hAnsi="Times New Roma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character" w:styleId="Style14">
    <w:name w:val="Основной шрифт абзаца"/>
    <w:qFormat/>
    <w:rPr/>
  </w:style>
  <w:style w:type="character" w:styleId="Style15">
    <w:name w:val="Hyperlink"/>
    <w:basedOn w:val="Style14"/>
    <w:rPr>
      <w:color w:val="0000FF"/>
      <w:u w:val="single"/>
    </w:rPr>
  </w:style>
  <w:style w:type="character" w:styleId="3">
    <w:name w:val="Основной текст с отступом 3 Знак"/>
    <w:basedOn w:val="Style14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Style16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7">
    <w:name w:val="Заголовок"/>
    <w:basedOn w:val="Normal"/>
    <w:next w:val="Style18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8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Style19">
    <w:name w:val="List"/>
    <w:basedOn w:val="Style18"/>
    <w:pPr>
      <w:suppressAutoHyphens w:val="true"/>
    </w:pPr>
    <w:rPr/>
  </w:style>
  <w:style w:type="paragraph" w:styleId="Style20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21">
    <w:name w:val="Указатель"/>
    <w:basedOn w:val="Normal"/>
    <w:qFormat/>
    <w:pPr>
      <w:suppressLineNumbers/>
      <w:suppressAutoHyphens w:val="true"/>
    </w:pPr>
    <w:rPr/>
  </w:style>
  <w:style w:type="paragraph" w:styleId="Style22">
    <w:name w:val="Содержимое таблицы"/>
    <w:basedOn w:val="Normal"/>
    <w:qFormat/>
    <w:pPr>
      <w:widowControl w:val="false"/>
      <w:suppressLineNumbers/>
      <w:suppressAutoHyphens w:val="true"/>
    </w:pPr>
    <w:rPr/>
  </w:style>
  <w:style w:type="paragraph" w:styleId="Style23">
    <w:name w:val="Заголовок таблицы"/>
    <w:basedOn w:val="Style22"/>
    <w:qFormat/>
    <w:pPr>
      <w:suppressAutoHyphens w:val="true"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BF6A3EA01F8C07F78701EB237F1570E0F3B3F5A3DC2C1D6BC943D25D695D1DC864CBDF7F2CA56FF999A416ABCB04BE6463867D8E3235188sFTFL" TargetMode="External"/><Relationship Id="rId3" Type="http://schemas.openxmlformats.org/officeDocument/2006/relationships/hyperlink" Target="consultantplus://offline/ref=7BF6A3EA01F8C07F78701EB237F1570E0E30395238C6C1D6BC943D25D695D1DC864CBDF7F2CA57FF919A416ABCB04BE6463867D8E3235188sFTFL" TargetMode="External"/><Relationship Id="rId4" Type="http://schemas.openxmlformats.org/officeDocument/2006/relationships/hyperlink" Target="consultantplus://offline/ref=776FD4F4C614E284A562706F92C7D0686926CCB6574EE2067C31383DF9B1CDFE48E35AEEC2B3E71237E450EE5109DD54E832F1FCD77E84E6U3UBL" TargetMode="External"/><Relationship Id="rId5" Type="http://schemas.openxmlformats.org/officeDocument/2006/relationships/hyperlink" Target="consultantplus://offline/ref=776FD4F4C614E284A562706F92C7D0686926CCB65046E2067C31383DF9B1CDFE5AE302E2C3B5F91135F106BF14U5U5L" TargetMode="External"/><Relationship Id="rId6" Type="http://schemas.openxmlformats.org/officeDocument/2006/relationships/hyperlink" Target="consultantplus://offline/ref=CABB3B23BBDDEEB0B8701DA6C1FF8CBA97ED378FA6DE324A19F31FD26724BA119AF55E3E9700F1C1359D8B1BF872C59551DAB93A2BDC6D6Bw7P7L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79</TotalTime>
  <Application>LibreOffice/7.4.6.2$Windows_X86_64 LibreOffice_project/5b1f5509c2decdade7fda905e3e1429a67acd63d</Application>
  <AppVersion>15.0000</AppVersion>
  <Pages>4</Pages>
  <Words>1229</Words>
  <Characters>7010</Characters>
  <CharactersWithSpaces>8223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2023-08-02T15:05:00Z</dcterms:created>
  <dc:creator/>
  <dc:description/>
  <dc:language>ru-RU</dc:language>
  <cp:lastModifiedBy>USER</cp:lastModifiedBy>
  <dcterms:modified xsi:type="dcterms:W3CDTF">2025-07-23T10:37:00Z</dcterms:modified>
  <cp:revision>7</cp:revision>
  <dc:subject/>
  <dc:title/>
</cp:coreProperties>
</file>